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D61" w:rsidRPr="00D47D61" w:rsidRDefault="00D47D61" w:rsidP="00D47D61">
      <w:pPr>
        <w:jc w:val="center"/>
        <w:rPr>
          <w:rFonts w:ascii="Arial" w:hAnsi="Arial" w:cs="Arial"/>
          <w:u w:val="single"/>
        </w:rPr>
      </w:pPr>
      <w:r w:rsidRPr="00D47D61">
        <w:rPr>
          <w:rFonts w:ascii="Arial" w:hAnsi="Arial" w:cs="Arial"/>
          <w:u w:val="single"/>
        </w:rPr>
        <w:t>TRABAJO PRÁCTICO</w:t>
      </w:r>
    </w:p>
    <w:p w:rsidR="006D2D7A" w:rsidRDefault="00D47D61">
      <w:pPr>
        <w:rPr>
          <w:rFonts w:ascii="Arial" w:hAnsi="Arial" w:cs="Arial"/>
        </w:rPr>
      </w:pPr>
      <w:r>
        <w:rPr>
          <w:rFonts w:ascii="Arial" w:hAnsi="Arial" w:cs="Arial"/>
        </w:rPr>
        <w:t>1) Le</w:t>
      </w:r>
      <w:r w:rsidR="006D2D7A">
        <w:rPr>
          <w:rFonts w:ascii="Arial" w:hAnsi="Arial" w:cs="Arial"/>
        </w:rPr>
        <w:t>amos</w:t>
      </w:r>
      <w:r>
        <w:rPr>
          <w:rFonts w:ascii="Arial" w:hAnsi="Arial" w:cs="Arial"/>
        </w:rPr>
        <w:t xml:space="preserve"> el siguiente texto de </w:t>
      </w:r>
      <w:r w:rsidR="00756B7A" w:rsidRPr="00D47D61">
        <w:rPr>
          <w:rFonts w:ascii="Arial" w:hAnsi="Arial" w:cs="Arial"/>
        </w:rPr>
        <w:t>E</w:t>
      </w:r>
      <w:r w:rsidR="00756B7A" w:rsidRPr="00D47D61">
        <w:rPr>
          <w:rFonts w:ascii="Arial" w:hAnsi="Arial" w:cs="Arial"/>
        </w:rPr>
        <w:t>ric</w:t>
      </w:r>
      <w:r w:rsidR="00756B7A" w:rsidRPr="00D47D61">
        <w:rPr>
          <w:rFonts w:ascii="Arial" w:hAnsi="Arial" w:cs="Arial"/>
        </w:rPr>
        <w:t xml:space="preserve"> </w:t>
      </w:r>
      <w:proofErr w:type="spellStart"/>
      <w:r w:rsidR="00756B7A" w:rsidRPr="00D47D61">
        <w:rPr>
          <w:rFonts w:ascii="Arial" w:hAnsi="Arial" w:cs="Arial"/>
        </w:rPr>
        <w:t>Hobsbawm</w:t>
      </w:r>
      <w:r w:rsidR="006D2D7A">
        <w:rPr>
          <w:rFonts w:ascii="Arial" w:hAnsi="Arial" w:cs="Arial"/>
        </w:rPr>
        <w:t>.</w:t>
      </w:r>
    </w:p>
    <w:p w:rsidR="006D2D7A" w:rsidRDefault="006D2D7A">
      <w:pPr>
        <w:rPr>
          <w:rFonts w:ascii="Arial" w:hAnsi="Arial" w:cs="Arial"/>
        </w:rPr>
      </w:pPr>
      <w:proofErr w:type="spellEnd"/>
      <w:r>
        <w:rPr>
          <w:rFonts w:ascii="Arial" w:hAnsi="Arial" w:cs="Arial"/>
        </w:rPr>
        <w:t>2) ¿Cuál de estos títulos te parece que señala de qué trata el fragmento?</w:t>
      </w:r>
      <w:r w:rsidR="007D6155">
        <w:rPr>
          <w:rFonts w:ascii="Arial" w:hAnsi="Arial" w:cs="Arial"/>
        </w:rPr>
        <w:t xml:space="preserve"> </w:t>
      </w:r>
      <w:proofErr w:type="spellStart"/>
      <w:r w:rsidR="007D6155">
        <w:rPr>
          <w:rFonts w:ascii="Arial" w:hAnsi="Arial" w:cs="Arial"/>
        </w:rPr>
        <w:t>Justificalo</w:t>
      </w:r>
      <w:proofErr w:type="spellEnd"/>
      <w:r w:rsidR="007D6155">
        <w:rPr>
          <w:rFonts w:ascii="Arial" w:hAnsi="Arial" w:cs="Arial"/>
        </w:rPr>
        <w:t>.</w:t>
      </w:r>
    </w:p>
    <w:p w:rsidR="006D2D7A" w:rsidRDefault="006D2D7A">
      <w:pPr>
        <w:rPr>
          <w:rFonts w:ascii="Arial" w:hAnsi="Arial" w:cs="Arial"/>
        </w:rPr>
      </w:pPr>
      <w:r>
        <w:rPr>
          <w:rFonts w:ascii="Arial" w:hAnsi="Arial" w:cs="Arial"/>
        </w:rPr>
        <w:t>- El siglo XX, siglo de enfrentamientos</w:t>
      </w:r>
    </w:p>
    <w:p w:rsidR="006D2D7A" w:rsidRDefault="006D2D7A">
      <w:pPr>
        <w:rPr>
          <w:rFonts w:ascii="Arial" w:hAnsi="Arial" w:cs="Arial"/>
        </w:rPr>
      </w:pPr>
      <w:r>
        <w:rPr>
          <w:rFonts w:ascii="Arial" w:hAnsi="Arial" w:cs="Arial"/>
        </w:rPr>
        <w:t>- La Historia, ¿Para qué?</w:t>
      </w:r>
    </w:p>
    <w:p w:rsidR="006D2D7A" w:rsidRDefault="006D2D7A">
      <w:pPr>
        <w:rPr>
          <w:rFonts w:ascii="Arial" w:hAnsi="Arial" w:cs="Arial"/>
        </w:rPr>
      </w:pPr>
      <w:r>
        <w:rPr>
          <w:rFonts w:ascii="Arial" w:hAnsi="Arial" w:cs="Arial"/>
        </w:rPr>
        <w:t>- El pasado está presente</w:t>
      </w:r>
    </w:p>
    <w:p w:rsidR="007D6155" w:rsidRDefault="006D2D7A">
      <w:pPr>
        <w:rPr>
          <w:rFonts w:ascii="Arial" w:hAnsi="Arial" w:cs="Arial"/>
        </w:rPr>
      </w:pPr>
      <w:r>
        <w:rPr>
          <w:rFonts w:ascii="Arial" w:hAnsi="Arial" w:cs="Arial"/>
        </w:rPr>
        <w:t xml:space="preserve">- </w:t>
      </w:r>
      <w:r w:rsidR="007D6155">
        <w:rPr>
          <w:rFonts w:ascii="Arial" w:hAnsi="Arial" w:cs="Arial"/>
        </w:rPr>
        <w:t>La importancia de juzgar</w:t>
      </w:r>
    </w:p>
    <w:p w:rsidR="00756B7A" w:rsidRPr="00D47D61" w:rsidRDefault="007D6155">
      <w:pPr>
        <w:rPr>
          <w:rFonts w:ascii="Arial" w:hAnsi="Arial" w:cs="Arial"/>
        </w:rPr>
      </w:pPr>
      <w:r>
        <w:rPr>
          <w:rFonts w:ascii="Arial" w:hAnsi="Arial" w:cs="Arial"/>
        </w:rPr>
        <w:t>- La importancia de comprender</w:t>
      </w:r>
      <w:r w:rsidR="006D2D7A">
        <w:rPr>
          <w:rFonts w:ascii="Arial" w:hAnsi="Arial" w:cs="Arial"/>
        </w:rPr>
        <w:t xml:space="preserve"> </w:t>
      </w:r>
      <w:r w:rsidR="00756B7A" w:rsidRPr="00D47D61">
        <w:rPr>
          <w:rFonts w:ascii="Arial" w:hAnsi="Arial" w:cs="Arial"/>
        </w:rPr>
        <w:t xml:space="preserve"> </w:t>
      </w:r>
    </w:p>
    <w:p w:rsidR="00D47D61" w:rsidRPr="00D47D61" w:rsidRDefault="00D47D61">
      <w:pPr>
        <w:rPr>
          <w:rFonts w:ascii="Arial" w:hAnsi="Arial" w:cs="Arial"/>
        </w:rPr>
      </w:pPr>
      <w:r w:rsidRPr="00D47D61">
        <w:rPr>
          <w:rFonts w:ascii="Arial" w:hAnsi="Arial" w:cs="Arial"/>
        </w:rPr>
        <w:tab/>
        <w:t>“</w:t>
      </w:r>
      <w:r w:rsidR="00756B7A" w:rsidRPr="00D47D61">
        <w:rPr>
          <w:rFonts w:ascii="Arial" w:hAnsi="Arial" w:cs="Arial"/>
        </w:rPr>
        <w:t xml:space="preserve">Pero no sólo en el caso de un historiador anciano el pasado es parte de su presente permanente. </w:t>
      </w:r>
      <w:r>
        <w:rPr>
          <w:rFonts w:ascii="Arial" w:hAnsi="Arial" w:cs="Arial"/>
        </w:rPr>
        <w:t xml:space="preserve">(…) </w:t>
      </w:r>
      <w:r w:rsidR="00756B7A" w:rsidRPr="00D47D61">
        <w:rPr>
          <w:rFonts w:ascii="Arial" w:hAnsi="Arial" w:cs="Arial"/>
        </w:rPr>
        <w:t>El mundo que se desintegró a finales de los años ochenta era aquel que había cobrado forma bajo el impacto de la revolución rusa de 1917. Ese mundo nos ha marcado a todos, por ejemplo, en la medida en que nos acostumbramos a concebir la economía industrial moderna en función de opuestos binarios, «capitalismo» y «socialismo», como alternativas mutuamente excluyentes. El segundo de esos términos identificaba las economías organizadas según el modelo de la URSS y el primero designaba a todas las demás. Debería quedar claro ahora que se trataba de un subterfugio</w:t>
      </w:r>
      <w:r>
        <w:rPr>
          <w:rStyle w:val="Refdenotaalpie"/>
          <w:rFonts w:ascii="Arial" w:hAnsi="Arial" w:cs="Arial"/>
        </w:rPr>
        <w:footnoteReference w:id="1"/>
      </w:r>
      <w:r w:rsidR="00756B7A" w:rsidRPr="00D47D61">
        <w:rPr>
          <w:rFonts w:ascii="Arial" w:hAnsi="Arial" w:cs="Arial"/>
        </w:rPr>
        <w:t xml:space="preserve"> arbitrario y hasta cierto punto artificial, que sólo puede entenderse en un contexto histórico determinado. Y, sin embargo, aun ahora es difícil pensar, ni siquiera de forma retrospectiva, en otros principios de clasificación más realistas que aquellos que situaban en un mismo bloque a los Estados Unidos, Japón, Suecia, Brasil, la República Federal de Alemania y Corea del Sur, así como a las economías y sistemas estatales de la región soviética que se derrumbó al acabar los años ochenta en el mismo conjunto que las del este y sureste asiático, que no compartieron ese destino. </w:t>
      </w:r>
    </w:p>
    <w:p w:rsidR="007D6155" w:rsidRDefault="00D47D61" w:rsidP="006D2D7A">
      <w:pPr>
        <w:rPr>
          <w:rFonts w:ascii="Arial" w:hAnsi="Arial" w:cs="Arial"/>
        </w:rPr>
      </w:pPr>
      <w:r w:rsidRPr="00D47D61">
        <w:rPr>
          <w:rFonts w:ascii="Arial" w:hAnsi="Arial" w:cs="Arial"/>
        </w:rPr>
        <w:tab/>
      </w:r>
      <w:r w:rsidR="00756B7A" w:rsidRPr="00D47D61">
        <w:rPr>
          <w:rFonts w:ascii="Arial" w:hAnsi="Arial" w:cs="Arial"/>
        </w:rPr>
        <w:t xml:space="preserve">Una vez más hay que decir que incluso el mundo que ha sobrevivido una vez concluida la revolución de octubre es un mundo cuyas instituciones y principios básicos cobraron forma por obra de quienes se alinearon en el bando de los vencedores en la segunda guerra mundial. Los elementos del bando perdedor o vinculados a ellos no sólo fueron silenciados, sino prácticamente borrados de la historia y de la vida intelectual, salvo en su papel de «enemigo» en el drama moral universal que enfrenta al bien con el mal. (Posiblemente, lo mismo les está ocurriendo a los perdedores de la guerra fría de la segunda mitad del siglo, aunque no en el mismo grado ni durante tanto tiempo.) Esta es una de las consecuencias negativas de vivir en un siglo de guerras de religión, cuyo rasgo principal es la intolerancia. Incluso quienes anunciaban el pluralismo inherente a su ausencia de ideología consideraban que el mundo no era lo suficientemente grande para permitir la coexistencia permanente con las religiones seculares rivales. </w:t>
      </w:r>
    </w:p>
    <w:p w:rsidR="006D2D7A" w:rsidRPr="006D2D7A" w:rsidRDefault="00756B7A" w:rsidP="006D2D7A">
      <w:pPr>
        <w:rPr>
          <w:rFonts w:ascii="Arial" w:hAnsi="Arial" w:cs="Arial"/>
        </w:rPr>
      </w:pPr>
      <w:r w:rsidRPr="00D47D61">
        <w:rPr>
          <w:rFonts w:ascii="Arial" w:hAnsi="Arial" w:cs="Arial"/>
        </w:rPr>
        <w:lastRenderedPageBreak/>
        <w:t xml:space="preserve">Los enfrentamientos religiosos o ideológicos, como los que se han sucedido ininterrumpidamente durante el presente siglo, erigen barreras en el camino del historiador, cuya labor fundamental no es juzgar sino comprender incluso lo que resulta más difícil de aprehender. Pero lo que dificulta la comprensión no son sólo nuestras apasionadas convicciones, sino la experiencia histórica que les ha dado forma. Aquéllas son más fáciles de superar, pues no existe un átomo de verdad en la típica, pero errónea, expresión francesa </w:t>
      </w:r>
      <w:proofErr w:type="spellStart"/>
      <w:r w:rsidRPr="00D47D61">
        <w:rPr>
          <w:rFonts w:ascii="Arial" w:hAnsi="Arial" w:cs="Arial"/>
          <w:i/>
        </w:rPr>
        <w:t>tout</w:t>
      </w:r>
      <w:proofErr w:type="spellEnd"/>
      <w:r w:rsidRPr="00D47D61">
        <w:rPr>
          <w:rFonts w:ascii="Arial" w:hAnsi="Arial" w:cs="Arial"/>
          <w:i/>
        </w:rPr>
        <w:t xml:space="preserve"> </w:t>
      </w:r>
      <w:proofErr w:type="spellStart"/>
      <w:r w:rsidRPr="00D47D61">
        <w:rPr>
          <w:rFonts w:ascii="Arial" w:hAnsi="Arial" w:cs="Arial"/>
          <w:i/>
        </w:rPr>
        <w:t>comprendre</w:t>
      </w:r>
      <w:proofErr w:type="spellEnd"/>
      <w:r w:rsidRPr="00D47D61">
        <w:rPr>
          <w:rFonts w:ascii="Arial" w:hAnsi="Arial" w:cs="Arial"/>
          <w:i/>
        </w:rPr>
        <w:t xml:space="preserve"> c '</w:t>
      </w:r>
      <w:proofErr w:type="spellStart"/>
      <w:r w:rsidRPr="00D47D61">
        <w:rPr>
          <w:rFonts w:ascii="Arial" w:hAnsi="Arial" w:cs="Arial"/>
          <w:i/>
        </w:rPr>
        <w:t>est</w:t>
      </w:r>
      <w:proofErr w:type="spellEnd"/>
      <w:r w:rsidRPr="00D47D61">
        <w:rPr>
          <w:rFonts w:ascii="Arial" w:hAnsi="Arial" w:cs="Arial"/>
          <w:i/>
        </w:rPr>
        <w:t xml:space="preserve"> </w:t>
      </w:r>
      <w:proofErr w:type="spellStart"/>
      <w:r w:rsidRPr="00D47D61">
        <w:rPr>
          <w:rFonts w:ascii="Arial" w:hAnsi="Arial" w:cs="Arial"/>
          <w:i/>
        </w:rPr>
        <w:t>tout</w:t>
      </w:r>
      <w:proofErr w:type="spellEnd"/>
      <w:r w:rsidRPr="00D47D61">
        <w:rPr>
          <w:rFonts w:ascii="Arial" w:hAnsi="Arial" w:cs="Arial"/>
          <w:i/>
        </w:rPr>
        <w:t xml:space="preserve"> </w:t>
      </w:r>
      <w:proofErr w:type="spellStart"/>
      <w:r w:rsidRPr="00D47D61">
        <w:rPr>
          <w:rFonts w:ascii="Arial" w:hAnsi="Arial" w:cs="Arial"/>
          <w:i/>
        </w:rPr>
        <w:t>pardonner</w:t>
      </w:r>
      <w:proofErr w:type="spellEnd"/>
      <w:r w:rsidRPr="00D47D61">
        <w:rPr>
          <w:rFonts w:ascii="Arial" w:hAnsi="Arial" w:cs="Arial"/>
        </w:rPr>
        <w:t xml:space="preserve"> (comprenderlo todo es perdonarlo todo). Comprender la época nazi en la historia de Alemania y encajarla en su contexto histórico no significa perdonar el genocidio. En cualquier caso, no parece probable que quien haya vivido durante este siglo extraordinario pueda abstenerse de expresar un juicio. La difi</w:t>
      </w:r>
      <w:r w:rsidR="00D47D61">
        <w:rPr>
          <w:rFonts w:ascii="Arial" w:hAnsi="Arial" w:cs="Arial"/>
        </w:rPr>
        <w:t>cultad estriba en comprender.”</w:t>
      </w:r>
      <w:r w:rsidR="006D2D7A" w:rsidRPr="006D2D7A">
        <w:rPr>
          <w:rFonts w:ascii="Arial" w:hAnsi="Arial" w:cs="Arial"/>
          <w:vertAlign w:val="superscript"/>
        </w:rPr>
        <w:t xml:space="preserve"> </w:t>
      </w:r>
      <w:r w:rsidR="006D2D7A" w:rsidRPr="006D2D7A">
        <w:rPr>
          <w:rFonts w:ascii="Arial" w:hAnsi="Arial" w:cs="Arial"/>
          <w:vertAlign w:val="superscript"/>
        </w:rPr>
        <w:footnoteReference w:id="2"/>
      </w:r>
      <w:r w:rsidR="006D2D7A" w:rsidRPr="006D2D7A">
        <w:rPr>
          <w:rFonts w:ascii="Arial" w:hAnsi="Arial" w:cs="Arial"/>
        </w:rPr>
        <w:t xml:space="preserve"> </w:t>
      </w:r>
    </w:p>
    <w:p w:rsidR="00C7303A" w:rsidRDefault="00C7303A">
      <w:pPr>
        <w:rPr>
          <w:rFonts w:ascii="Arial" w:hAnsi="Arial" w:cs="Arial"/>
        </w:rPr>
      </w:pPr>
    </w:p>
    <w:p w:rsidR="00A32EC3" w:rsidRDefault="007D6155">
      <w:pPr>
        <w:rPr>
          <w:rFonts w:ascii="Arial" w:hAnsi="Arial" w:cs="Arial"/>
        </w:rPr>
      </w:pPr>
      <w:r>
        <w:rPr>
          <w:rFonts w:ascii="Arial" w:hAnsi="Arial" w:cs="Arial"/>
        </w:rPr>
        <w:t xml:space="preserve">3) </w:t>
      </w:r>
      <w:proofErr w:type="spellStart"/>
      <w:r>
        <w:rPr>
          <w:rFonts w:ascii="Arial" w:hAnsi="Arial" w:cs="Arial"/>
        </w:rPr>
        <w:t>Contestá</w:t>
      </w:r>
      <w:proofErr w:type="spellEnd"/>
      <w:r>
        <w:rPr>
          <w:rFonts w:ascii="Arial" w:hAnsi="Arial" w:cs="Arial"/>
        </w:rPr>
        <w:t xml:space="preserve">: </w:t>
      </w:r>
    </w:p>
    <w:p w:rsidR="00A32EC3" w:rsidRDefault="007D6155">
      <w:pPr>
        <w:rPr>
          <w:rFonts w:ascii="Arial" w:hAnsi="Arial" w:cs="Arial"/>
        </w:rPr>
      </w:pPr>
      <w:r>
        <w:rPr>
          <w:rFonts w:ascii="Arial" w:hAnsi="Arial" w:cs="Arial"/>
        </w:rPr>
        <w:t>1. ¿</w:t>
      </w:r>
      <w:r w:rsidR="00A32EC3">
        <w:rPr>
          <w:rFonts w:ascii="Arial" w:hAnsi="Arial" w:cs="Arial"/>
        </w:rPr>
        <w:t>C</w:t>
      </w:r>
      <w:r>
        <w:rPr>
          <w:rFonts w:ascii="Arial" w:hAnsi="Arial" w:cs="Arial"/>
        </w:rPr>
        <w:t xml:space="preserve">on qué palabras </w:t>
      </w:r>
      <w:r w:rsidR="00A32EC3">
        <w:rPr>
          <w:rFonts w:ascii="Arial" w:hAnsi="Arial" w:cs="Arial"/>
        </w:rPr>
        <w:t>caracteriza el autor al siglo XX</w:t>
      </w:r>
      <w:r>
        <w:rPr>
          <w:rFonts w:ascii="Arial" w:hAnsi="Arial" w:cs="Arial"/>
        </w:rPr>
        <w:t xml:space="preserve">? </w:t>
      </w:r>
    </w:p>
    <w:p w:rsidR="007D6155" w:rsidRDefault="007D6155">
      <w:pPr>
        <w:rPr>
          <w:rFonts w:ascii="Arial" w:hAnsi="Arial" w:cs="Arial"/>
        </w:rPr>
      </w:pPr>
      <w:r>
        <w:rPr>
          <w:rFonts w:ascii="Arial" w:hAnsi="Arial" w:cs="Arial"/>
        </w:rPr>
        <w:t xml:space="preserve">2. ¿Te parece que </w:t>
      </w:r>
      <w:proofErr w:type="spellStart"/>
      <w:r>
        <w:rPr>
          <w:rFonts w:ascii="Arial" w:hAnsi="Arial" w:cs="Arial"/>
        </w:rPr>
        <w:t>Hobsbawm</w:t>
      </w:r>
      <w:proofErr w:type="spellEnd"/>
      <w:r>
        <w:rPr>
          <w:rFonts w:ascii="Arial" w:hAnsi="Arial" w:cs="Arial"/>
        </w:rPr>
        <w:t xml:space="preserve"> dice que alguien que nació el siglo XXI no tiene ninguna influencia de lo que fue parte del pasado, específicamente del siglo XX? ¿Por qué?</w:t>
      </w:r>
    </w:p>
    <w:p w:rsidR="007D6155" w:rsidRDefault="007D6155">
      <w:pPr>
        <w:rPr>
          <w:rFonts w:ascii="Arial" w:hAnsi="Arial" w:cs="Arial"/>
        </w:rPr>
      </w:pPr>
      <w:r>
        <w:rPr>
          <w:rFonts w:ascii="Arial" w:hAnsi="Arial" w:cs="Arial"/>
        </w:rPr>
        <w:t xml:space="preserve">3. </w:t>
      </w:r>
      <w:r>
        <w:rPr>
          <w:rFonts w:ascii="Arial" w:hAnsi="Arial" w:cs="Arial"/>
        </w:rPr>
        <w:t xml:space="preserve">¿Te parece que él dice que está mal ubicar dentro de un mismo grupo a </w:t>
      </w:r>
      <w:r w:rsidRPr="007D6155">
        <w:rPr>
          <w:rFonts w:ascii="Arial" w:hAnsi="Arial" w:cs="Arial"/>
        </w:rPr>
        <w:t>Estados Unidos, Japón, Suecia, Brasil, la República Federal de Alemania y Corea del Sur</w:t>
      </w:r>
      <w:r>
        <w:rPr>
          <w:rFonts w:ascii="Arial" w:hAnsi="Arial" w:cs="Arial"/>
        </w:rPr>
        <w:t>? ¿Por qué?</w:t>
      </w:r>
    </w:p>
    <w:p w:rsidR="007D6155" w:rsidRDefault="007D6155">
      <w:pPr>
        <w:rPr>
          <w:rFonts w:ascii="Arial" w:hAnsi="Arial" w:cs="Arial"/>
        </w:rPr>
      </w:pPr>
      <w:r>
        <w:rPr>
          <w:rFonts w:ascii="Arial" w:hAnsi="Arial" w:cs="Arial"/>
        </w:rPr>
        <w:t xml:space="preserve">4. </w:t>
      </w:r>
      <w:r w:rsidR="00CB002C">
        <w:rPr>
          <w:rFonts w:ascii="Arial" w:hAnsi="Arial" w:cs="Arial"/>
        </w:rPr>
        <w:t xml:space="preserve">¿Te parece que el autor dice que nuestra propia ideología es </w:t>
      </w:r>
      <w:proofErr w:type="gramStart"/>
      <w:r w:rsidR="00CB002C">
        <w:rPr>
          <w:rFonts w:ascii="Arial" w:hAnsi="Arial" w:cs="Arial"/>
        </w:rPr>
        <w:t>un</w:t>
      </w:r>
      <w:proofErr w:type="gramEnd"/>
      <w:r w:rsidR="00CB002C">
        <w:rPr>
          <w:rFonts w:ascii="Arial" w:hAnsi="Arial" w:cs="Arial"/>
        </w:rPr>
        <w:t xml:space="preserve"> dificultad para comprender? </w:t>
      </w:r>
    </w:p>
    <w:p w:rsidR="006D2D7A" w:rsidRPr="00D47D61" w:rsidRDefault="006D2D7A">
      <w:pPr>
        <w:rPr>
          <w:rFonts w:ascii="Arial" w:hAnsi="Arial" w:cs="Arial"/>
        </w:rPr>
      </w:pPr>
      <w:bookmarkStart w:id="0" w:name="_GoBack"/>
      <w:bookmarkEnd w:id="0"/>
    </w:p>
    <w:sectPr w:rsidR="006D2D7A" w:rsidRPr="00D47D61">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B9A" w:rsidRDefault="009B3B9A" w:rsidP="00D47D61">
      <w:pPr>
        <w:spacing w:after="0" w:line="240" w:lineRule="auto"/>
      </w:pPr>
      <w:r>
        <w:separator/>
      </w:r>
    </w:p>
  </w:endnote>
  <w:endnote w:type="continuationSeparator" w:id="0">
    <w:p w:rsidR="009B3B9A" w:rsidRDefault="009B3B9A" w:rsidP="00D47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B9A" w:rsidRDefault="009B3B9A" w:rsidP="00D47D61">
      <w:pPr>
        <w:spacing w:after="0" w:line="240" w:lineRule="auto"/>
      </w:pPr>
      <w:r>
        <w:separator/>
      </w:r>
    </w:p>
  </w:footnote>
  <w:footnote w:type="continuationSeparator" w:id="0">
    <w:p w:rsidR="009B3B9A" w:rsidRDefault="009B3B9A" w:rsidP="00D47D61">
      <w:pPr>
        <w:spacing w:after="0" w:line="240" w:lineRule="auto"/>
      </w:pPr>
      <w:r>
        <w:continuationSeparator/>
      </w:r>
    </w:p>
  </w:footnote>
  <w:footnote w:id="1">
    <w:p w:rsidR="00D47D61" w:rsidRDefault="00D47D61">
      <w:pPr>
        <w:pStyle w:val="Textonotapie"/>
      </w:pPr>
      <w:r>
        <w:rPr>
          <w:rStyle w:val="Refdenotaalpie"/>
        </w:rPr>
        <w:footnoteRef/>
      </w:r>
      <w:r w:rsidR="00A32EC3">
        <w:t xml:space="preserve"> Subterfugio: ardid, argucia. </w:t>
      </w:r>
    </w:p>
  </w:footnote>
  <w:footnote w:id="2">
    <w:p w:rsidR="006D2D7A" w:rsidRPr="00D47D61" w:rsidRDefault="006D2D7A" w:rsidP="006D2D7A">
      <w:pPr>
        <w:pStyle w:val="Textonotapie"/>
      </w:pPr>
      <w:r>
        <w:rPr>
          <w:rStyle w:val="Refdenotaalpie"/>
        </w:rPr>
        <w:footnoteRef/>
      </w:r>
      <w:r>
        <w:t xml:space="preserve"> </w:t>
      </w:r>
      <w:r w:rsidRPr="00D47D61">
        <w:t xml:space="preserve">Eric J. </w:t>
      </w:r>
      <w:proofErr w:type="spellStart"/>
      <w:r w:rsidRPr="00D47D61">
        <w:t>Hobsbawm</w:t>
      </w:r>
      <w:proofErr w:type="spellEnd"/>
      <w:r w:rsidRPr="00D47D61">
        <w:t xml:space="preserve"> (1994) HISTORIA DEL SIGLO XX, CRÍTICA (Grijalbo </w:t>
      </w:r>
      <w:proofErr w:type="spellStart"/>
      <w:r w:rsidRPr="00D47D61">
        <w:t>Mondadori</w:t>
      </w:r>
      <w:proofErr w:type="spellEnd"/>
      <w:r w:rsidRPr="00D47D61">
        <w:t>, S. A.), Buenos Aires.</w:t>
      </w:r>
      <w:r w:rsidRPr="00D47D61">
        <w:rPr>
          <w:rFonts w:ascii="Arial" w:hAnsi="Arial" w:cs="Arial"/>
          <w:sz w:val="22"/>
          <w:szCs w:val="22"/>
        </w:rPr>
        <w:t xml:space="preserve"> </w:t>
      </w:r>
      <w:r w:rsidRPr="00D47D61">
        <w:t>(extracto de la página 14 y la 15</w:t>
      </w:r>
      <w:r>
        <w:t>, Vista panorámica del siglo XX</w:t>
      </w:r>
      <w:r w:rsidRPr="00D47D61">
        <w:t>)</w:t>
      </w:r>
    </w:p>
    <w:p w:rsidR="006D2D7A" w:rsidRDefault="006D2D7A" w:rsidP="006D2D7A">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D61" w:rsidRDefault="00D47D61">
    <w:pPr>
      <w:pStyle w:val="Encabezado"/>
    </w:pPr>
    <w:r>
      <w:t>HISTORIA ECONÓMICA Y SOCIAL – COMISIÓN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7A"/>
    <w:rsid w:val="006D2D7A"/>
    <w:rsid w:val="00756B7A"/>
    <w:rsid w:val="007D6155"/>
    <w:rsid w:val="009B3B9A"/>
    <w:rsid w:val="00A32EC3"/>
    <w:rsid w:val="00C7303A"/>
    <w:rsid w:val="00CB002C"/>
    <w:rsid w:val="00D47D6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7D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7D61"/>
  </w:style>
  <w:style w:type="paragraph" w:styleId="Piedepgina">
    <w:name w:val="footer"/>
    <w:basedOn w:val="Normal"/>
    <w:link w:val="PiedepginaCar"/>
    <w:uiPriority w:val="99"/>
    <w:unhideWhenUsed/>
    <w:rsid w:val="00D47D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7D61"/>
  </w:style>
  <w:style w:type="paragraph" w:styleId="Textonotapie">
    <w:name w:val="footnote text"/>
    <w:basedOn w:val="Normal"/>
    <w:link w:val="TextonotapieCar"/>
    <w:uiPriority w:val="99"/>
    <w:semiHidden/>
    <w:unhideWhenUsed/>
    <w:rsid w:val="00D47D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47D61"/>
    <w:rPr>
      <w:sz w:val="20"/>
      <w:szCs w:val="20"/>
    </w:rPr>
  </w:style>
  <w:style w:type="character" w:styleId="Refdenotaalpie">
    <w:name w:val="footnote reference"/>
    <w:basedOn w:val="Fuentedeprrafopredeter"/>
    <w:uiPriority w:val="99"/>
    <w:semiHidden/>
    <w:unhideWhenUsed/>
    <w:rsid w:val="00D47D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7D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7D61"/>
  </w:style>
  <w:style w:type="paragraph" w:styleId="Piedepgina">
    <w:name w:val="footer"/>
    <w:basedOn w:val="Normal"/>
    <w:link w:val="PiedepginaCar"/>
    <w:uiPriority w:val="99"/>
    <w:unhideWhenUsed/>
    <w:rsid w:val="00D47D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7D61"/>
  </w:style>
  <w:style w:type="paragraph" w:styleId="Textonotapie">
    <w:name w:val="footnote text"/>
    <w:basedOn w:val="Normal"/>
    <w:link w:val="TextonotapieCar"/>
    <w:uiPriority w:val="99"/>
    <w:semiHidden/>
    <w:unhideWhenUsed/>
    <w:rsid w:val="00D47D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47D61"/>
    <w:rPr>
      <w:sz w:val="20"/>
      <w:szCs w:val="20"/>
    </w:rPr>
  </w:style>
  <w:style w:type="character" w:styleId="Refdenotaalpie">
    <w:name w:val="footnote reference"/>
    <w:basedOn w:val="Fuentedeprrafopredeter"/>
    <w:uiPriority w:val="99"/>
    <w:semiHidden/>
    <w:unhideWhenUsed/>
    <w:rsid w:val="00D47D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CB37-2E34-431E-8A9C-7F9AC0D6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613</Words>
  <Characters>3377</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dc:creator>
  <cp:lastModifiedBy>Gabi</cp:lastModifiedBy>
  <cp:revision>1</cp:revision>
  <dcterms:created xsi:type="dcterms:W3CDTF">2015-03-30T00:12:00Z</dcterms:created>
  <dcterms:modified xsi:type="dcterms:W3CDTF">2015-03-30T03:03:00Z</dcterms:modified>
</cp:coreProperties>
</file>